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80"/>
        <w:rPr>
          <w:rFonts w:hint="eastAsia" w:ascii="黑体" w:hAnsi="宋体" w:eastAsia="黑体"/>
          <w:sz w:val="44"/>
        </w:rPr>
      </w:pPr>
    </w:p>
    <w:p>
      <w:pPr>
        <w:ind w:firstLine="880"/>
        <w:rPr>
          <w:rFonts w:hint="eastAsia" w:ascii="黑体" w:hAnsi="宋体" w:eastAsia="黑体"/>
          <w:sz w:val="44"/>
        </w:rPr>
      </w:pPr>
    </w:p>
    <w:p>
      <w:pPr>
        <w:ind w:firstLine="880"/>
        <w:rPr>
          <w:rFonts w:hint="eastAsia" w:ascii="黑体" w:hAnsi="宋体" w:eastAsia="黑体"/>
          <w:sz w:val="44"/>
        </w:rPr>
      </w:pPr>
    </w:p>
    <w:p>
      <w:pPr>
        <w:ind w:firstLine="880"/>
        <w:rPr>
          <w:rFonts w:hint="eastAsia" w:ascii="黑体" w:hAnsi="宋体" w:eastAsia="黑体"/>
          <w:sz w:val="44"/>
        </w:rPr>
      </w:pPr>
    </w:p>
    <w:tbl>
      <w:tblPr>
        <w:tblStyle w:val="14"/>
        <w:tblpPr w:leftFromText="180" w:rightFromText="180" w:vertAnchor="text" w:horzAnchor="page" w:tblpX="1270" w:tblpY="129"/>
        <w:tblOverlap w:val="never"/>
        <w:tblW w:w="98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9855" w:type="dxa"/>
            <w:tcBorders>
              <w:bottom w:val="single" w:color="4F81BD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黑体" w:hAnsi="黑体" w:eastAsia="黑体"/>
                <w:sz w:val="44"/>
                <w:szCs w:val="44"/>
              </w:rPr>
              <w:t>《</w:t>
            </w:r>
            <w:r>
              <w:rPr>
                <w:rFonts w:hint="eastAsia" w:ascii="黑体" w:hAnsi="黑体" w:eastAsia="黑体" w:cs="宋体"/>
                <w:b/>
                <w:sz w:val="44"/>
                <w:szCs w:val="44"/>
                <w:lang w:bidi="ar"/>
              </w:rPr>
              <w:t>项目建议书</w:t>
            </w:r>
            <w:r>
              <w:rPr>
                <w:rFonts w:hint="eastAsia" w:ascii="黑体" w:hAnsi="黑体" w:eastAsia="黑体"/>
                <w:sz w:val="44"/>
                <w:szCs w:val="44"/>
              </w:rPr>
              <w:t>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855" w:type="dxa"/>
            <w:tcBorders>
              <w:top w:val="single" w:color="4F81BD" w:sz="4" w:space="0"/>
            </w:tcBorders>
            <w:vAlign w:val="center"/>
          </w:tcPr>
          <w:p>
            <w:pPr>
              <w:pStyle w:val="3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文件编号：</w:t>
            </w:r>
            <w:r>
              <w:rPr>
                <w:rFonts w:ascii="Cambria" w:hAnsi="Cambria" w:cs="宋体"/>
                <w:b/>
                <w:sz w:val="24"/>
              </w:rPr>
              <w:t>JS-JL-0</w:t>
            </w:r>
            <w:r>
              <w:rPr>
                <w:rFonts w:hint="eastAsia" w:ascii="Cambria" w:hAnsi="Cambria" w:cs="宋体"/>
                <w:b/>
                <w:sz w:val="24"/>
              </w:rPr>
              <w:t>4</w:t>
            </w:r>
            <w:r>
              <w:rPr>
                <w:rFonts w:ascii="Cambria" w:hAnsi="Cambria" w:cs="宋体"/>
                <w:b/>
                <w:sz w:val="24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55" w:type="dxa"/>
            <w:tcBorders>
              <w:bottom w:val="nil"/>
            </w:tcBorders>
            <w:vAlign w:val="center"/>
          </w:tcPr>
          <w:p>
            <w:pPr>
              <w:pStyle w:val="3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版本：</w:t>
            </w:r>
            <w:r>
              <w:rPr>
                <w:rFonts w:ascii="Cambria" w:hAnsi="Cambria" w:cs="宋体"/>
                <w:b/>
                <w:sz w:val="24"/>
              </w:rPr>
              <w:t>A1</w:t>
            </w:r>
          </w:p>
        </w:tc>
      </w:tr>
    </w:tbl>
    <w:p>
      <w:pPr>
        <w:ind w:firstLine="0" w:firstLineChars="0"/>
        <w:rPr>
          <w:rFonts w:hint="eastAsia" w:ascii="宋体" w:hAnsi="宋体" w:cs="宋体"/>
          <w:bCs/>
          <w:sz w:val="32"/>
          <w:szCs w:val="32"/>
        </w:rPr>
      </w:pPr>
    </w:p>
    <w:p>
      <w:pPr>
        <w:pStyle w:val="30"/>
        <w:ind w:firstLine="482"/>
        <w:jc w:val="center"/>
        <w:rPr>
          <w:rFonts w:ascii="Cambria" w:hAnsi="Cambria"/>
          <w:b/>
          <w:sz w:val="24"/>
        </w:rPr>
      </w:pPr>
    </w:p>
    <w:p>
      <w:pPr>
        <w:pStyle w:val="30"/>
        <w:ind w:firstLine="482"/>
        <w:jc w:val="center"/>
        <w:rPr>
          <w:rFonts w:ascii="Cambria" w:hAnsi="Cambria"/>
          <w:b/>
          <w:sz w:val="24"/>
        </w:rPr>
      </w:pPr>
    </w:p>
    <w:p>
      <w:pPr>
        <w:pStyle w:val="30"/>
        <w:ind w:firstLine="482"/>
        <w:jc w:val="center"/>
        <w:rPr>
          <w:rFonts w:hint="eastAsia" w:ascii="Cambria" w:hAnsi="Cambria"/>
          <w:b/>
          <w:sz w:val="24"/>
        </w:rPr>
      </w:pPr>
    </w:p>
    <w:tbl>
      <w:tblPr>
        <w:tblStyle w:val="14"/>
        <w:tblpPr w:leftFromText="180" w:rightFromText="180" w:vertAnchor="text" w:horzAnchor="page" w:tblpX="1470" w:tblpY="395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3223"/>
        <w:gridCol w:w="1637"/>
        <w:gridCol w:w="32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42" w:type="dxa"/>
            <w:vAlign w:val="center"/>
          </w:tcPr>
          <w:p>
            <w:pPr>
              <w:tabs>
                <w:tab w:val="left" w:pos="9356"/>
              </w:tabs>
              <w:ind w:firstLine="0" w:firstLineChars="0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起草人：</w:t>
            </w:r>
          </w:p>
        </w:tc>
        <w:tc>
          <w:tcPr>
            <w:tcW w:w="3223" w:type="dxa"/>
            <w:vAlign w:val="center"/>
          </w:tcPr>
          <w:p>
            <w:pPr>
              <w:tabs>
                <w:tab w:val="left" w:pos="9356"/>
              </w:tabs>
              <w:ind w:firstLine="42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637" w:type="dxa"/>
            <w:vAlign w:val="center"/>
          </w:tcPr>
          <w:p>
            <w:pPr>
              <w:tabs>
                <w:tab w:val="left" w:pos="9356"/>
              </w:tabs>
              <w:ind w:firstLine="0" w:firstLineChars="0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起草日期：</w:t>
            </w:r>
          </w:p>
        </w:tc>
        <w:tc>
          <w:tcPr>
            <w:tcW w:w="3204" w:type="dxa"/>
            <w:vAlign w:val="center"/>
          </w:tcPr>
          <w:p>
            <w:pPr>
              <w:tabs>
                <w:tab w:val="left" w:pos="9356"/>
              </w:tabs>
              <w:ind w:firstLine="420"/>
              <w:jc w:val="center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 xml:space="preserve">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42" w:type="dxa"/>
            <w:vAlign w:val="center"/>
          </w:tcPr>
          <w:p>
            <w:pPr>
              <w:tabs>
                <w:tab w:val="left" w:pos="9356"/>
              </w:tabs>
              <w:ind w:firstLine="0" w:firstLineChars="0"/>
              <w:rPr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审核人：</w:t>
            </w:r>
          </w:p>
        </w:tc>
        <w:tc>
          <w:tcPr>
            <w:tcW w:w="3223" w:type="dxa"/>
            <w:vAlign w:val="center"/>
          </w:tcPr>
          <w:p>
            <w:pPr>
              <w:tabs>
                <w:tab w:val="left" w:pos="9356"/>
              </w:tabs>
              <w:ind w:firstLine="42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637" w:type="dxa"/>
            <w:vAlign w:val="center"/>
          </w:tcPr>
          <w:p>
            <w:pPr>
              <w:tabs>
                <w:tab w:val="left" w:pos="9356"/>
              </w:tabs>
              <w:ind w:firstLine="0" w:firstLineChars="0"/>
              <w:rPr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审核日期：</w:t>
            </w:r>
          </w:p>
        </w:tc>
        <w:tc>
          <w:tcPr>
            <w:tcW w:w="3204" w:type="dxa"/>
            <w:vAlign w:val="center"/>
          </w:tcPr>
          <w:p>
            <w:pPr>
              <w:tabs>
                <w:tab w:val="left" w:pos="9356"/>
              </w:tabs>
              <w:ind w:firstLine="420"/>
              <w:jc w:val="center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 xml:space="preserve">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42" w:type="dxa"/>
            <w:vAlign w:val="center"/>
          </w:tcPr>
          <w:p>
            <w:pPr>
              <w:tabs>
                <w:tab w:val="left" w:pos="9356"/>
              </w:tabs>
              <w:ind w:firstLine="0" w:firstLineChars="0"/>
              <w:rPr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批准人：</w:t>
            </w:r>
          </w:p>
        </w:tc>
        <w:tc>
          <w:tcPr>
            <w:tcW w:w="3223" w:type="dxa"/>
            <w:vAlign w:val="center"/>
          </w:tcPr>
          <w:p>
            <w:pPr>
              <w:tabs>
                <w:tab w:val="left" w:pos="9356"/>
              </w:tabs>
              <w:ind w:firstLine="42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637" w:type="dxa"/>
            <w:vAlign w:val="center"/>
          </w:tcPr>
          <w:p>
            <w:pPr>
              <w:tabs>
                <w:tab w:val="left" w:pos="9356"/>
              </w:tabs>
              <w:ind w:firstLine="0" w:firstLineChars="0"/>
              <w:rPr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批准日期：</w:t>
            </w:r>
          </w:p>
        </w:tc>
        <w:tc>
          <w:tcPr>
            <w:tcW w:w="3204" w:type="dxa"/>
            <w:vAlign w:val="center"/>
          </w:tcPr>
          <w:p>
            <w:pPr>
              <w:tabs>
                <w:tab w:val="left" w:pos="9356"/>
              </w:tabs>
              <w:ind w:firstLine="420"/>
              <w:jc w:val="center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 xml:space="preserve">   年 </w:t>
            </w:r>
            <w:r>
              <w:rPr>
                <w:rFonts w:hint="eastAsia"/>
                <w:bCs/>
                <w:sz w:val="21"/>
                <w:szCs w:val="21"/>
              </w:rPr>
              <w:t xml:space="preserve">   </w:t>
            </w:r>
            <w:r>
              <w:rPr>
                <w:bCs/>
                <w:sz w:val="21"/>
                <w:szCs w:val="21"/>
              </w:rPr>
              <w:t xml:space="preserve">月 </w:t>
            </w:r>
            <w:r>
              <w:rPr>
                <w:rFonts w:hint="eastAsia"/>
                <w:bCs/>
                <w:sz w:val="21"/>
                <w:szCs w:val="21"/>
              </w:rPr>
              <w:t xml:space="preserve">   </w:t>
            </w:r>
            <w:r>
              <w:rPr>
                <w:bCs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42" w:type="dxa"/>
            <w:vAlign w:val="center"/>
          </w:tcPr>
          <w:p>
            <w:pPr>
              <w:tabs>
                <w:tab w:val="left" w:pos="9356"/>
              </w:tabs>
              <w:ind w:firstLine="0" w:firstLineChars="0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发布日期：</w:t>
            </w:r>
          </w:p>
        </w:tc>
        <w:tc>
          <w:tcPr>
            <w:tcW w:w="3223" w:type="dxa"/>
            <w:vAlign w:val="center"/>
          </w:tcPr>
          <w:p>
            <w:pPr>
              <w:tabs>
                <w:tab w:val="left" w:pos="9356"/>
              </w:tabs>
              <w:ind w:firstLine="420"/>
              <w:jc w:val="center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 xml:space="preserve">     年    月    日</w:t>
            </w:r>
          </w:p>
        </w:tc>
        <w:tc>
          <w:tcPr>
            <w:tcW w:w="1637" w:type="dxa"/>
            <w:vAlign w:val="center"/>
          </w:tcPr>
          <w:p>
            <w:pPr>
              <w:tabs>
                <w:tab w:val="left" w:pos="9356"/>
              </w:tabs>
              <w:ind w:firstLine="0" w:firstLineChars="0"/>
              <w:rPr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实施日期：</w:t>
            </w:r>
          </w:p>
        </w:tc>
        <w:tc>
          <w:tcPr>
            <w:tcW w:w="3204" w:type="dxa"/>
            <w:vAlign w:val="center"/>
          </w:tcPr>
          <w:p>
            <w:pPr>
              <w:tabs>
                <w:tab w:val="left" w:pos="9356"/>
              </w:tabs>
              <w:ind w:firstLine="420"/>
              <w:jc w:val="center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 xml:space="preserve">   年    月    日</w:t>
            </w:r>
          </w:p>
        </w:tc>
      </w:tr>
    </w:tbl>
    <w:p>
      <w:pPr>
        <w:rPr>
          <w:rFonts w:hint="eastAsia" w:hAnsi="宋体"/>
        </w:rPr>
      </w:pPr>
    </w:p>
    <w:p>
      <w:pPr>
        <w:jc w:val="center"/>
        <w:rPr>
          <w:rFonts w:hint="eastAsia" w:hAnsi="宋体"/>
          <w:bCs/>
        </w:rPr>
      </w:pPr>
    </w:p>
    <w:p>
      <w:pPr>
        <w:jc w:val="center"/>
        <w:rPr>
          <w:rFonts w:hint="eastAsia" w:hAnsi="宋体"/>
          <w:bCs/>
        </w:rPr>
      </w:pPr>
    </w:p>
    <w:p>
      <w:pPr>
        <w:jc w:val="center"/>
        <w:rPr>
          <w:rFonts w:hint="eastAsia" w:hAnsi="宋体"/>
          <w:bCs/>
        </w:rPr>
      </w:pPr>
    </w:p>
    <w:p>
      <w:pPr>
        <w:jc w:val="center"/>
        <w:rPr>
          <w:rFonts w:hint="eastAsia" w:hAnsi="宋体"/>
          <w:bCs/>
        </w:rPr>
      </w:pPr>
    </w:p>
    <w:p>
      <w:pPr>
        <w:ind w:firstLine="0" w:firstLineChars="0"/>
        <w:rPr>
          <w:rFonts w:hint="eastAsia" w:hAnsi="宋体"/>
          <w:bCs/>
        </w:rPr>
      </w:pPr>
    </w:p>
    <w:p>
      <w:pPr>
        <w:jc w:val="center"/>
        <w:rPr>
          <w:rFonts w:hint="eastAsia" w:hAnsi="宋体"/>
          <w:bCs/>
        </w:rPr>
      </w:pPr>
      <w:r>
        <w:rPr>
          <w:rFonts w:hint="eastAsia" w:hAnsi="宋体"/>
          <w:bCs/>
          <w:szCs w:val="24"/>
        </w:rPr>
        <w:t>童伴有康（河北）科技有限公司</w:t>
      </w:r>
    </w:p>
    <w:p>
      <w:pPr>
        <w:pStyle w:val="3"/>
        <w:spacing w:before="0" w:after="0" w:line="360" w:lineRule="auto"/>
        <w:ind w:left="0" w:firstLine="0" w:firstLineChars="0"/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134" w:right="1134" w:bottom="1134" w:left="1134" w:header="737" w:footer="737" w:gutter="0"/>
          <w:pgNumType w:start="1"/>
          <w:cols w:space="425" w:num="1"/>
          <w:docGrid w:type="lines" w:linePitch="312" w:charSpace="0"/>
        </w:sectPr>
      </w:pPr>
    </w:p>
    <w:p>
      <w:pPr>
        <w:pStyle w:val="3"/>
        <w:spacing w:before="0" w:after="0" w:line="360" w:lineRule="auto"/>
        <w:ind w:left="0" w:firstLine="0" w:firstLineChars="0"/>
      </w:pPr>
      <w:bookmarkStart w:id="1" w:name="_GoBack"/>
      <w:bookmarkEnd w:id="1"/>
      <w:r>
        <w:rPr>
          <w:rFonts w:hint="eastAsia"/>
        </w:rPr>
        <w:t>背景</w:t>
      </w:r>
    </w:p>
    <w:p>
      <w:pPr>
        <w:widowControl/>
        <w:jc w:val="left"/>
        <w:rPr>
          <w:rFonts w:cs="宋体"/>
          <w:kern w:val="0"/>
          <w:szCs w:val="31"/>
          <w:lang w:bidi="ar"/>
        </w:rPr>
      </w:pPr>
      <w:r>
        <w:rPr>
          <w:rFonts w:hint="eastAsia" w:cs="宋体"/>
          <w:kern w:val="0"/>
          <w:szCs w:val="31"/>
          <w:lang w:bidi="ar"/>
        </w:rPr>
        <w:t>在儿童成长过程中，准确评估其生长发育状况对于及时发现潜在问题、保障儿童健康成长至关重要。骨龄作为反映儿童骨骼发育成熟程度的重要指标，能够较为准确地评估儿童的生长潜力和发育阶段，为临床诊断和治疗提供重要依据。传统诊断方法的局限性，传统的骨龄评估方法主要依靠人工读片，通过放射科医生或专业人员观察儿童手部X片上骨骼的形态、结构和发育特征来判断骨龄。这种方法过程耗时较长，效率较低、且记忆容易混乱。此外人工读片对于细微的骨骼变化可能不够敏感，容易出现误诊或漏诊的情况。</w:t>
      </w:r>
    </w:p>
    <w:p>
      <w:pPr>
        <w:widowControl/>
        <w:adjustRightInd w:val="0"/>
        <w:snapToGrid w:val="0"/>
        <w:rPr>
          <w:szCs w:val="24"/>
        </w:rPr>
      </w:pPr>
      <w:r>
        <w:rPr>
          <w:rFonts w:hint="eastAsia" w:cs="宋体"/>
          <w:kern w:val="0"/>
          <w:szCs w:val="31"/>
          <w:lang w:bidi="ar"/>
        </w:rPr>
        <w:t>随着医学影像学技术、计算机技术的不断发展，为研发更加准确、提高骨龄诊断的准确性和可靠性。我司整合现有资源，将X光片与软件产品相结合，使得软件产品能够</w:t>
      </w:r>
      <w:r>
        <w:rPr>
          <w:rFonts w:hint="eastAsia" w:cs="宋体"/>
        </w:rPr>
        <w:t>对儿童手部X射线影像图片进行曝光、放大、翻转，并主动提供可供选择的骨龄评价方法供医生学习和对照，辅助其进行临床决策。</w:t>
      </w:r>
    </w:p>
    <w:p>
      <w:pPr>
        <w:pStyle w:val="3"/>
        <w:spacing w:before="0" w:after="0" w:line="360" w:lineRule="auto"/>
        <w:ind w:left="0" w:firstLine="0" w:firstLineChars="0"/>
      </w:pPr>
      <w:r>
        <w:rPr>
          <w:rFonts w:hint="eastAsia"/>
        </w:rPr>
        <w:t>产品概述</w:t>
      </w:r>
    </w:p>
    <w:p>
      <w:pPr>
        <w:rPr>
          <w:rFonts w:hint="eastAsia" w:ascii="宋体" w:hAnsi="宋体" w:cs="宋体"/>
          <w:szCs w:val="24"/>
        </w:rPr>
      </w:pPr>
      <w:bookmarkStart w:id="0" w:name="_Hlk4665221"/>
      <w:r>
        <w:rPr>
          <w:color w:val="000000"/>
          <w:szCs w:val="24"/>
        </w:rPr>
        <w:t>本产品的</w:t>
      </w:r>
      <w:r>
        <w:rPr>
          <w:rFonts w:hint="eastAsia"/>
          <w:color w:val="000000"/>
          <w:szCs w:val="24"/>
        </w:rPr>
        <w:t>核心功能</w:t>
      </w:r>
      <w:r>
        <w:rPr>
          <w:color w:val="000000"/>
          <w:szCs w:val="24"/>
        </w:rPr>
        <w:t>为</w:t>
      </w:r>
      <w:r>
        <w:rPr>
          <w:rFonts w:hint="eastAsia"/>
          <w:color w:val="000000"/>
          <w:szCs w:val="24"/>
        </w:rPr>
        <w:t>对</w:t>
      </w:r>
      <w:r>
        <w:rPr>
          <w:rFonts w:hint="eastAsia"/>
          <w:szCs w:val="24"/>
        </w:rPr>
        <w:t>儿童手部X射线</w:t>
      </w:r>
      <w:r>
        <w:rPr>
          <w:rFonts w:hint="eastAsia" w:ascii="宋体" w:hAnsi="宋体" w:cs="宋体"/>
          <w:spacing w:val="-4"/>
          <w:szCs w:val="24"/>
        </w:rPr>
        <w:t>进行曝光、放大、翻转</w:t>
      </w:r>
      <w:r>
        <w:rPr>
          <w:rFonts w:hint="eastAsia" w:cs="宋体"/>
          <w:spacing w:val="-4"/>
          <w:szCs w:val="24"/>
        </w:rPr>
        <w:t>，</w:t>
      </w:r>
      <w:r>
        <w:rPr>
          <w:rFonts w:hint="eastAsia" w:ascii="宋体" w:hAnsi="宋体" w:cs="宋体"/>
          <w:spacing w:val="-4"/>
          <w:szCs w:val="24"/>
        </w:rPr>
        <w:t>辅助医生进行骨龄评价。</w:t>
      </w:r>
    </w:p>
    <w:p>
      <w:pPr>
        <w:rPr>
          <w:rFonts w:hint="eastAsia" w:ascii="宋体" w:hAnsi="宋体" w:cs="宋体"/>
          <w:szCs w:val="24"/>
        </w:rPr>
      </w:pPr>
      <w:r>
        <w:rPr>
          <w:rFonts w:hint="eastAsia" w:ascii="宋体" w:hAnsi="宋体" w:cs="宋体"/>
          <w:szCs w:val="24"/>
        </w:rPr>
        <w:t>软件模块功能介绍</w:t>
      </w:r>
    </w:p>
    <w:tbl>
      <w:tblPr>
        <w:tblStyle w:val="15"/>
        <w:tblW w:w="499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79"/>
        <w:gridCol w:w="4928"/>
        <w:gridCol w:w="1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66" w:type="pct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szCs w:val="24"/>
              </w:rPr>
            </w:pPr>
            <w:r>
              <w:rPr>
                <w:rFonts w:hint="eastAsia" w:ascii="宋体" w:hAnsi="宋体" w:cs="宋体"/>
                <w:szCs w:val="24"/>
              </w:rPr>
              <w:t>模块</w:t>
            </w:r>
          </w:p>
        </w:tc>
        <w:tc>
          <w:tcPr>
            <w:tcW w:w="2504" w:type="pct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szCs w:val="24"/>
              </w:rPr>
            </w:pPr>
            <w:r>
              <w:rPr>
                <w:rFonts w:hint="eastAsia" w:ascii="宋体" w:hAnsi="宋体" w:cs="宋体"/>
                <w:szCs w:val="24"/>
              </w:rPr>
              <w:t>功能</w:t>
            </w:r>
          </w:p>
        </w:tc>
        <w:tc>
          <w:tcPr>
            <w:tcW w:w="829" w:type="pct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szCs w:val="24"/>
              </w:rPr>
            </w:pPr>
            <w:r>
              <w:rPr>
                <w:rFonts w:hint="eastAsia" w:ascii="宋体" w:hAnsi="宋体" w:cs="宋体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66" w:type="pct"/>
            <w:vMerge w:val="restart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szCs w:val="24"/>
              </w:rPr>
            </w:pPr>
            <w:r>
              <w:rPr>
                <w:rFonts w:hint="eastAsia" w:ascii="宋体" w:hAnsi="宋体" w:cs="宋体"/>
                <w:szCs w:val="24"/>
              </w:rPr>
              <w:t>登录模块</w:t>
            </w:r>
          </w:p>
        </w:tc>
        <w:tc>
          <w:tcPr>
            <w:tcW w:w="2504" w:type="pct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szCs w:val="24"/>
              </w:rPr>
            </w:pPr>
            <w:r>
              <w:rPr>
                <w:rFonts w:hint="eastAsia" w:ascii="宋体" w:hAnsi="宋体" w:cs="宋体"/>
                <w:szCs w:val="24"/>
              </w:rPr>
              <w:t>账号登陆</w:t>
            </w:r>
          </w:p>
        </w:tc>
        <w:tc>
          <w:tcPr>
            <w:tcW w:w="829" w:type="pct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szCs w:val="24"/>
              </w:rPr>
            </w:pPr>
            <w:r>
              <w:rPr>
                <w:rFonts w:hint="eastAsia" w:ascii="宋体" w:hAnsi="宋体" w:cs="宋体"/>
                <w:szCs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66" w:type="pct"/>
            <w:vMerge w:val="continue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szCs w:val="24"/>
              </w:rPr>
            </w:pPr>
          </w:p>
        </w:tc>
        <w:tc>
          <w:tcPr>
            <w:tcW w:w="2504" w:type="pct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szCs w:val="24"/>
              </w:rPr>
            </w:pPr>
            <w:r>
              <w:rPr>
                <w:rFonts w:hint="eastAsia" w:ascii="宋体" w:hAnsi="宋体" w:cs="宋体"/>
                <w:szCs w:val="24"/>
              </w:rPr>
              <w:t>记住密码</w:t>
            </w:r>
          </w:p>
        </w:tc>
        <w:tc>
          <w:tcPr>
            <w:tcW w:w="829" w:type="pct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szCs w:val="24"/>
              </w:rPr>
            </w:pPr>
            <w:r>
              <w:rPr>
                <w:rFonts w:hint="eastAsia" w:ascii="宋体" w:hAnsi="宋体" w:cs="宋体"/>
                <w:szCs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66" w:type="pct"/>
            <w:vMerge w:val="continue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szCs w:val="24"/>
              </w:rPr>
            </w:pPr>
          </w:p>
        </w:tc>
        <w:tc>
          <w:tcPr>
            <w:tcW w:w="2504" w:type="pct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szCs w:val="24"/>
              </w:rPr>
            </w:pPr>
            <w:r>
              <w:rPr>
                <w:rFonts w:hint="eastAsia" w:ascii="宋体" w:hAnsi="宋体" w:cs="宋体"/>
                <w:szCs w:val="24"/>
              </w:rPr>
              <w:t>忘记密码</w:t>
            </w:r>
          </w:p>
        </w:tc>
        <w:tc>
          <w:tcPr>
            <w:tcW w:w="829" w:type="pct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szCs w:val="24"/>
              </w:rPr>
            </w:pPr>
            <w:r>
              <w:rPr>
                <w:rFonts w:hint="eastAsia" w:ascii="宋体" w:hAnsi="宋体" w:cs="宋体"/>
                <w:szCs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66" w:type="pct"/>
            <w:vMerge w:val="continue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szCs w:val="24"/>
              </w:rPr>
            </w:pPr>
          </w:p>
        </w:tc>
        <w:tc>
          <w:tcPr>
            <w:tcW w:w="2504" w:type="pct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szCs w:val="24"/>
              </w:rPr>
            </w:pPr>
            <w:r>
              <w:rPr>
                <w:rFonts w:hint="eastAsia" w:ascii="宋体" w:hAnsi="宋体" w:cs="宋体"/>
                <w:szCs w:val="24"/>
              </w:rPr>
              <w:t>账号退出</w:t>
            </w:r>
          </w:p>
        </w:tc>
        <w:tc>
          <w:tcPr>
            <w:tcW w:w="829" w:type="pct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szCs w:val="24"/>
              </w:rPr>
            </w:pPr>
            <w:r>
              <w:rPr>
                <w:rFonts w:hint="eastAsia" w:ascii="宋体" w:hAnsi="宋体" w:cs="宋体"/>
                <w:szCs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66" w:type="pct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szCs w:val="24"/>
              </w:rPr>
            </w:pPr>
            <w:r>
              <w:rPr>
                <w:rFonts w:hint="eastAsia" w:ascii="宋体" w:hAnsi="宋体" w:cs="宋体"/>
                <w:szCs w:val="24"/>
              </w:rPr>
              <w:t>问诊模块</w:t>
            </w:r>
          </w:p>
        </w:tc>
        <w:tc>
          <w:tcPr>
            <w:tcW w:w="2504" w:type="pct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宋体" w:hAnsi="宋体" w:cs="宋体"/>
                <w:spacing w:val="-1"/>
                <w:szCs w:val="24"/>
              </w:rPr>
              <w:t>医生对患者进行问诊，填写患者基本信息和历史病例。</w:t>
            </w:r>
          </w:p>
        </w:tc>
        <w:tc>
          <w:tcPr>
            <w:tcW w:w="829" w:type="pct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szCs w:val="24"/>
              </w:rPr>
            </w:pPr>
            <w:r>
              <w:rPr>
                <w:rFonts w:hint="eastAsia" w:ascii="宋体" w:hAnsi="宋体" w:cs="宋体"/>
                <w:szCs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66" w:type="pct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szCs w:val="24"/>
              </w:rPr>
            </w:pPr>
            <w:r>
              <w:rPr>
                <w:rFonts w:hint="eastAsia" w:ascii="宋体" w:hAnsi="宋体" w:cs="宋体"/>
                <w:szCs w:val="24"/>
              </w:rPr>
              <w:t>骨龄评价模块</w:t>
            </w:r>
          </w:p>
        </w:tc>
        <w:tc>
          <w:tcPr>
            <w:tcW w:w="2504" w:type="pct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szCs w:val="24"/>
              </w:rPr>
            </w:pPr>
            <w:r>
              <w:rPr>
                <w:rFonts w:hint="eastAsia" w:ascii="宋体" w:hAnsi="宋体" w:cs="宋体"/>
                <w:szCs w:val="24"/>
              </w:rPr>
              <w:t>上传光片，对光片进行对光片进行亮度、白平衡、负片、翻转，选择骨龄评价方法，输入</w:t>
            </w:r>
            <w:r>
              <w:rPr>
                <w:rFonts w:hint="eastAsia" w:cs="宋体"/>
                <w:szCs w:val="24"/>
              </w:rPr>
              <w:t>骨骺</w:t>
            </w:r>
            <w:r>
              <w:rPr>
                <w:rFonts w:hint="eastAsia" w:ascii="宋体" w:hAnsi="宋体" w:cs="宋体"/>
                <w:szCs w:val="24"/>
              </w:rPr>
              <w:t>等级</w:t>
            </w:r>
            <w:r>
              <w:rPr>
                <w:rFonts w:hint="eastAsia" w:ascii="宋体" w:hAnsi="宋体" w:cs="宋体"/>
                <w:spacing w:val="-1"/>
                <w:szCs w:val="24"/>
              </w:rPr>
              <w:t>，存入未完成列表，生</w:t>
            </w:r>
            <w:r>
              <w:rPr>
                <w:rFonts w:hint="eastAsia" w:cs="宋体"/>
                <w:spacing w:val="-1"/>
                <w:szCs w:val="24"/>
              </w:rPr>
              <w:t>成</w:t>
            </w:r>
            <w:r>
              <w:rPr>
                <w:rFonts w:hint="eastAsia" w:ascii="宋体" w:hAnsi="宋体" w:cs="宋体"/>
                <w:spacing w:val="-1"/>
                <w:szCs w:val="24"/>
              </w:rPr>
              <w:t>报告</w:t>
            </w:r>
            <w:r>
              <w:rPr>
                <w:rFonts w:hint="eastAsia" w:ascii="宋体" w:hAnsi="宋体" w:cs="宋体"/>
                <w:szCs w:val="24"/>
              </w:rPr>
              <w:t>功能</w:t>
            </w:r>
            <w:r>
              <w:rPr>
                <w:rFonts w:hint="eastAsia" w:ascii="宋体" w:hAnsi="宋体" w:cs="宋体"/>
                <w:spacing w:val="-1"/>
                <w:szCs w:val="24"/>
              </w:rPr>
              <w:t>。</w:t>
            </w:r>
          </w:p>
        </w:tc>
        <w:tc>
          <w:tcPr>
            <w:tcW w:w="829" w:type="pct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szCs w:val="24"/>
              </w:rPr>
            </w:pPr>
            <w:r>
              <w:rPr>
                <w:rFonts w:hint="eastAsia" w:ascii="宋体" w:hAnsi="宋体" w:cs="宋体"/>
                <w:szCs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66" w:type="pct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szCs w:val="24"/>
              </w:rPr>
            </w:pPr>
            <w:r>
              <w:rPr>
                <w:rFonts w:hint="eastAsia" w:ascii="宋体" w:hAnsi="宋体" w:cs="宋体"/>
                <w:szCs w:val="24"/>
              </w:rPr>
              <w:t>评价报告模块</w:t>
            </w:r>
          </w:p>
        </w:tc>
        <w:tc>
          <w:tcPr>
            <w:tcW w:w="2504" w:type="pct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szCs w:val="24"/>
              </w:rPr>
            </w:pPr>
            <w:r>
              <w:rPr>
                <w:rFonts w:hint="eastAsia" w:ascii="宋体" w:hAnsi="宋体" w:cs="宋体"/>
                <w:spacing w:val="-2"/>
                <w:szCs w:val="24"/>
              </w:rPr>
              <w:t>展示骨龄评价结果，输入诊断意见</w:t>
            </w:r>
            <w:r>
              <w:rPr>
                <w:rFonts w:hint="eastAsia" w:ascii="宋体" w:hAnsi="宋体" w:cs="宋体"/>
                <w:spacing w:val="-3"/>
                <w:szCs w:val="24"/>
              </w:rPr>
              <w:t>，设置复诊时间、修改报告类型、参与纵向、新建监测、打印和导出报告</w:t>
            </w:r>
            <w:r>
              <w:rPr>
                <w:rFonts w:hint="eastAsia" w:ascii="宋体" w:hAnsi="宋体" w:cs="宋体"/>
                <w:spacing w:val="-1"/>
                <w:szCs w:val="24"/>
              </w:rPr>
              <w:t>。</w:t>
            </w:r>
          </w:p>
        </w:tc>
        <w:tc>
          <w:tcPr>
            <w:tcW w:w="829" w:type="pct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szCs w:val="24"/>
              </w:rPr>
            </w:pPr>
            <w:r>
              <w:rPr>
                <w:rFonts w:hint="eastAsia" w:ascii="宋体" w:hAnsi="宋体" w:cs="宋体"/>
                <w:szCs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66" w:type="pct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szCs w:val="24"/>
              </w:rPr>
            </w:pPr>
            <w:r>
              <w:rPr>
                <w:rFonts w:hint="eastAsia" w:ascii="宋体" w:hAnsi="宋体" w:cs="宋体"/>
                <w:szCs w:val="24"/>
              </w:rPr>
              <w:t>档案模块</w:t>
            </w:r>
          </w:p>
        </w:tc>
        <w:tc>
          <w:tcPr>
            <w:tcW w:w="2504" w:type="pct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4"/>
              </w:rPr>
            </w:pPr>
            <w:r>
              <w:rPr>
                <w:rFonts w:hint="eastAsia" w:ascii="宋体" w:hAnsi="宋体" w:cs="宋体"/>
                <w:szCs w:val="24"/>
              </w:rPr>
              <w:t>档案搜索，病例显示</w:t>
            </w:r>
          </w:p>
        </w:tc>
        <w:tc>
          <w:tcPr>
            <w:tcW w:w="829" w:type="pct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szCs w:val="24"/>
              </w:rPr>
            </w:pPr>
            <w:r>
              <w:rPr>
                <w:rFonts w:hint="eastAsia" w:ascii="宋体" w:hAnsi="宋体" w:cs="宋体"/>
                <w:szCs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66" w:type="pct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szCs w:val="24"/>
              </w:rPr>
            </w:pPr>
            <w:r>
              <w:rPr>
                <w:rFonts w:hint="eastAsia" w:ascii="宋体" w:hAnsi="宋体" w:cs="宋体"/>
                <w:szCs w:val="24"/>
              </w:rPr>
              <w:t>未完成模块</w:t>
            </w:r>
          </w:p>
        </w:tc>
        <w:tc>
          <w:tcPr>
            <w:tcW w:w="2504" w:type="pct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color w:val="000000"/>
                <w:szCs w:val="24"/>
              </w:rPr>
            </w:pPr>
            <w:r>
              <w:rPr>
                <w:rFonts w:hint="eastAsia" w:ascii="宋体" w:hAnsi="宋体" w:cs="宋体"/>
                <w:szCs w:val="24"/>
              </w:rPr>
              <w:t>未完成诊断档案搜索，病例显示及对病例进行继续诊断或删除。</w:t>
            </w:r>
          </w:p>
        </w:tc>
        <w:tc>
          <w:tcPr>
            <w:tcW w:w="829" w:type="pct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szCs w:val="24"/>
              </w:rPr>
            </w:pPr>
            <w:r>
              <w:rPr>
                <w:rFonts w:hint="eastAsia" w:ascii="宋体" w:hAnsi="宋体" w:cs="宋体"/>
                <w:szCs w:val="24"/>
              </w:rPr>
              <w:t>/</w:t>
            </w:r>
          </w:p>
        </w:tc>
      </w:tr>
    </w:tbl>
    <w:p>
      <w:pPr>
        <w:pStyle w:val="3"/>
        <w:spacing w:before="0" w:after="0" w:line="360" w:lineRule="auto"/>
        <w:ind w:left="0" w:firstLine="0" w:firstLineChars="0"/>
      </w:pPr>
      <w:r>
        <w:rPr>
          <w:rFonts w:hint="eastAsia"/>
        </w:rPr>
        <w:t>预期用途和适用范围</w:t>
      </w:r>
    </w:p>
    <w:bookmarkEnd w:id="0"/>
    <w:p>
      <w:r>
        <w:rPr>
          <w:rFonts w:hint="eastAsia"/>
        </w:rPr>
        <w:t>1、适用范围</w:t>
      </w:r>
    </w:p>
    <w:p>
      <w:pPr>
        <w:pStyle w:val="6"/>
        <w:kinsoku w:val="0"/>
        <w:autoSpaceDE w:val="0"/>
        <w:autoSpaceDN w:val="0"/>
        <w:adjustRightInd w:val="0"/>
        <w:snapToGrid w:val="0"/>
        <w:ind w:left="25" w:right="13" w:firstLine="464"/>
        <w:jc w:val="left"/>
        <w:textAlignment w:val="baseline"/>
        <w:rPr>
          <w:rFonts w:hint="eastAsia"/>
          <w:lang w:eastAsia="zh-CN"/>
        </w:rPr>
      </w:pPr>
      <w:r>
        <w:rPr>
          <w:rFonts w:hint="eastAsia"/>
          <w:spacing w:val="-4"/>
          <w:sz w:val="24"/>
          <w:szCs w:val="24"/>
          <w:lang w:eastAsia="zh-CN"/>
        </w:rPr>
        <w:t>适用于对儿童手部X射线影像进行曝光、放大、翻转，辅助医生进行骨龄评价。</w:t>
      </w:r>
    </w:p>
    <w:p>
      <w:r>
        <w:rPr>
          <w:rFonts w:hint="eastAsia"/>
        </w:rPr>
        <w:t>2、预期使用环境</w:t>
      </w:r>
    </w:p>
    <w:p>
      <w:pPr>
        <w:widowControl/>
        <w:jc w:val="left"/>
      </w:pPr>
      <w:r>
        <w:rPr>
          <w:rFonts w:hint="eastAsia" w:cs="宋体"/>
          <w:color w:val="000000"/>
          <w:kern w:val="0"/>
          <w:szCs w:val="24"/>
          <w:lang w:bidi="ar"/>
        </w:rPr>
        <w:t>儿童手部X射线影像处理软件的</w:t>
      </w:r>
      <w:r>
        <w:rPr>
          <w:rFonts w:cs="宋体"/>
          <w:color w:val="000000"/>
          <w:kern w:val="0"/>
          <w:szCs w:val="24"/>
          <w:lang w:bidi="ar"/>
        </w:rPr>
        <w:t>预期</w:t>
      </w:r>
      <w:r>
        <w:rPr>
          <w:rFonts w:hint="eastAsia" w:cs="宋体"/>
          <w:color w:val="000000"/>
          <w:kern w:val="0"/>
          <w:szCs w:val="24"/>
          <w:lang w:bidi="ar"/>
        </w:rPr>
        <w:t>在医疗机构中使用，应用于医技科室、影像科室、信息管理科室、儿保科等。</w:t>
      </w:r>
    </w:p>
    <w:p>
      <w:r>
        <w:rPr>
          <w:rFonts w:hint="eastAsia"/>
        </w:rPr>
        <w:t>3、适用人群</w:t>
      </w:r>
    </w:p>
    <w:p>
      <w:pPr>
        <w:widowControl/>
        <w:ind w:firstLine="464"/>
        <w:jc w:val="left"/>
      </w:pPr>
      <w:r>
        <w:rPr>
          <w:rFonts w:hint="eastAsia" w:ascii="宋体" w:hAnsi="宋体" w:cs="宋体"/>
          <w:spacing w:val="-4"/>
          <w:szCs w:val="24"/>
        </w:rPr>
        <w:t>本产品为B/S架构影像处理软件，使用对象或操作对象为</w:t>
      </w:r>
      <w:r>
        <w:rPr>
          <w:rFonts w:hint="eastAsia"/>
          <w:szCs w:val="24"/>
        </w:rPr>
        <w:t>进行影像处理的医生/操作人员</w:t>
      </w:r>
      <w:r>
        <w:rPr>
          <w:rFonts w:hint="eastAsia" w:ascii="宋体" w:hAnsi="宋体" w:cs="宋体"/>
          <w:spacing w:val="-4"/>
          <w:szCs w:val="24"/>
        </w:rPr>
        <w:t>。</w:t>
      </w:r>
    </w:p>
    <w:p>
      <w:pPr>
        <w:pStyle w:val="3"/>
        <w:spacing w:before="0" w:after="0" w:line="360" w:lineRule="auto"/>
        <w:ind w:left="0" w:firstLine="0" w:firstLineChars="0"/>
      </w:pPr>
      <w:r>
        <w:rPr>
          <w:rFonts w:hint="eastAsia"/>
        </w:rPr>
        <w:t>组成结构、原理及功能</w:t>
      </w:r>
    </w:p>
    <w:p>
      <w:r>
        <w:rPr>
          <w:rFonts w:hint="eastAsia"/>
        </w:rPr>
        <w:t>1.1.工作原理</w:t>
      </w:r>
    </w:p>
    <w:p>
      <w:pPr>
        <w:widowControl/>
        <w:jc w:val="left"/>
        <w:rPr>
          <w:rFonts w:cs="宋体"/>
          <w:snapToGrid w:val="0"/>
          <w:kern w:val="10"/>
          <w:szCs w:val="24"/>
        </w:rPr>
      </w:pPr>
      <w:r>
        <w:rPr>
          <w:rFonts w:hint="eastAsia" w:cs="宋体"/>
          <w:snapToGrid w:val="0"/>
          <w:kern w:val="10"/>
          <w:szCs w:val="24"/>
        </w:rPr>
        <w:t>软件对儿童手部X射线影像进行曝光、放大、翻转辅助医生观测评估骨龄等级，得出骨龄评价结果。</w:t>
      </w:r>
    </w:p>
    <w:p>
      <w:pPr>
        <w:rPr>
          <w:szCs w:val="24"/>
        </w:rPr>
      </w:pPr>
      <w:r>
        <w:rPr>
          <w:rFonts w:hint="eastAsia"/>
          <w:szCs w:val="24"/>
        </w:rPr>
        <w:t>1.2.结构组成</w:t>
      </w:r>
    </w:p>
    <w:p>
      <w:pPr>
        <w:ind w:firstLine="464"/>
        <w:rPr>
          <w:rFonts w:hint="eastAsia" w:ascii="宋体" w:hAnsi="宋体"/>
          <w:szCs w:val="24"/>
        </w:rPr>
      </w:pPr>
      <w:r>
        <w:rPr>
          <w:rFonts w:hint="eastAsia" w:ascii="宋体" w:hAnsi="宋体" w:cs="宋体"/>
          <w:spacing w:val="-4"/>
          <w:szCs w:val="24"/>
        </w:rPr>
        <w:t>本软件主要由</w:t>
      </w:r>
      <w:r>
        <w:rPr>
          <w:rFonts w:hint="eastAsia" w:cs="宋体"/>
          <w:spacing w:val="-4"/>
          <w:szCs w:val="24"/>
        </w:rPr>
        <w:t>登录模块、</w:t>
      </w:r>
      <w:r>
        <w:rPr>
          <w:rFonts w:hint="eastAsia" w:ascii="宋体" w:hAnsi="宋体" w:cs="宋体"/>
          <w:spacing w:val="-4"/>
          <w:szCs w:val="24"/>
        </w:rPr>
        <w:t>问诊模块，骨龄评价模块、评价报告模块、档案模</w:t>
      </w:r>
      <w:r>
        <w:rPr>
          <w:rFonts w:hint="eastAsia" w:ascii="宋体" w:hAnsi="宋体" w:cs="宋体"/>
          <w:spacing w:val="-1"/>
          <w:szCs w:val="24"/>
        </w:rPr>
        <w:t>块</w:t>
      </w:r>
      <w:r>
        <w:rPr>
          <w:rFonts w:hint="eastAsia" w:cs="宋体"/>
          <w:spacing w:val="-1"/>
          <w:szCs w:val="24"/>
        </w:rPr>
        <w:t>和未完成模块</w:t>
      </w:r>
      <w:r>
        <w:rPr>
          <w:rFonts w:hint="eastAsia" w:ascii="宋体" w:hAnsi="宋体" w:cs="宋体"/>
          <w:spacing w:val="-2"/>
          <w:szCs w:val="24"/>
        </w:rPr>
        <w:t>组成。</w:t>
      </w:r>
    </w:p>
    <w:p>
      <w:pPr>
        <w:pStyle w:val="3"/>
        <w:spacing w:before="0" w:after="0" w:line="360" w:lineRule="auto"/>
        <w:ind w:left="0" w:firstLine="0" w:firstLineChars="0"/>
      </w:pPr>
      <w:r>
        <w:rPr>
          <w:rFonts w:hint="eastAsia"/>
        </w:rPr>
        <w:t>项目成员</w:t>
      </w:r>
    </w:p>
    <w:tbl>
      <w:tblPr>
        <w:tblStyle w:val="14"/>
        <w:tblW w:w="8912" w:type="dxa"/>
        <w:tblInd w:w="6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5"/>
        <w:gridCol w:w="1984"/>
        <w:gridCol w:w="54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465" w:type="dxa"/>
          </w:tcPr>
          <w:p>
            <w:pPr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人员</w:t>
            </w:r>
          </w:p>
        </w:tc>
        <w:tc>
          <w:tcPr>
            <w:tcW w:w="1984" w:type="dxa"/>
          </w:tcPr>
          <w:p>
            <w:pPr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职务</w:t>
            </w:r>
          </w:p>
        </w:tc>
        <w:tc>
          <w:tcPr>
            <w:tcW w:w="5463" w:type="dxa"/>
          </w:tcPr>
          <w:p>
            <w:pPr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工作描述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65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刘克省</w:t>
            </w: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技术部经理</w:t>
            </w:r>
          </w:p>
        </w:tc>
        <w:tc>
          <w:tcPr>
            <w:tcW w:w="5463" w:type="dxa"/>
            <w:vAlign w:val="center"/>
          </w:tcPr>
          <w:p>
            <w:pPr>
              <w:ind w:firstLine="0" w:firstLineChars="0"/>
            </w:pPr>
            <w:r>
              <w:rPr>
                <w:rFonts w:hint="eastAsia"/>
              </w:rPr>
              <w:t>编制项目进度，负责部分模块开发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65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李梦珊</w:t>
            </w: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产品经理</w:t>
            </w:r>
          </w:p>
        </w:tc>
        <w:tc>
          <w:tcPr>
            <w:tcW w:w="5463" w:type="dxa"/>
            <w:vAlign w:val="center"/>
          </w:tcPr>
          <w:p>
            <w:pPr>
              <w:ind w:firstLine="0" w:firstLineChars="0"/>
            </w:pPr>
            <w:r>
              <w:rPr>
                <w:rFonts w:hint="eastAsia"/>
              </w:rPr>
              <w:t>负责产品功能的定义、规划和设计，搜集用户的新需求、竞争产品的资料，并进行需求分析、竞品分析以及研究产品的发展趋势等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65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窦刚</w:t>
            </w: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开发/维护工程师</w:t>
            </w:r>
          </w:p>
        </w:tc>
        <w:tc>
          <w:tcPr>
            <w:tcW w:w="5463" w:type="dxa"/>
            <w:vAlign w:val="center"/>
          </w:tcPr>
          <w:p>
            <w:pPr>
              <w:ind w:firstLine="0" w:firstLineChars="0"/>
            </w:pPr>
            <w:r>
              <w:rPr>
                <w:rFonts w:hint="eastAsia"/>
              </w:rPr>
              <w:t>界面模块设计与开发，后端模块设计与开发</w:t>
            </w:r>
            <w:r>
              <w:rPr>
                <w:rFonts w:hint="eastAsia"/>
                <w:szCs w:val="24"/>
              </w:rPr>
              <w:t>，配合测试bug修订和优化功能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65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卢立强</w:t>
            </w: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测试工程师</w:t>
            </w:r>
          </w:p>
        </w:tc>
        <w:tc>
          <w:tcPr>
            <w:tcW w:w="5463" w:type="dxa"/>
            <w:vAlign w:val="center"/>
          </w:tcPr>
          <w:p>
            <w:pPr>
              <w:ind w:firstLine="0" w:firstLineChars="0"/>
            </w:pPr>
            <w:r>
              <w:rPr>
                <w:rFonts w:hint="eastAsia"/>
              </w:rPr>
              <w:t>负责策划、执行测试，维护测试记录</w:t>
            </w:r>
          </w:p>
        </w:tc>
      </w:tr>
    </w:tbl>
    <w:p>
      <w:pPr>
        <w:pStyle w:val="3"/>
        <w:spacing w:before="0" w:after="0" w:line="360" w:lineRule="auto"/>
        <w:ind w:left="0" w:firstLine="0" w:firstLineChars="0"/>
      </w:pPr>
      <w:r>
        <w:rPr>
          <w:rFonts w:hint="eastAsia"/>
        </w:rPr>
        <w:t>研发成本及市场回报</w:t>
      </w:r>
    </w:p>
    <w:p>
      <w:r>
        <w:rPr>
          <w:rFonts w:hint="eastAsia"/>
        </w:rPr>
        <w:t>整个开发过程中预期的资金投入如下表所示。</w:t>
      </w:r>
    </w:p>
    <w:tbl>
      <w:tblPr>
        <w:tblStyle w:val="14"/>
        <w:tblW w:w="9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18"/>
        <w:gridCol w:w="39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5718" w:type="dxa"/>
          </w:tcPr>
          <w:p>
            <w:pPr>
              <w:spacing w:before="60" w:after="60"/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开支项目</w:t>
            </w:r>
          </w:p>
        </w:tc>
        <w:tc>
          <w:tcPr>
            <w:tcW w:w="3981" w:type="dxa"/>
          </w:tcPr>
          <w:p>
            <w:pPr>
              <w:spacing w:before="60" w:after="60"/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5718" w:type="dxa"/>
            <w:vAlign w:val="center"/>
          </w:tcPr>
          <w:p>
            <w:pPr>
              <w:spacing w:before="60" w:after="60"/>
              <w:ind w:firstLine="0" w:firstLineChars="0"/>
              <w:jc w:val="center"/>
            </w:pPr>
            <w:r>
              <w:rPr>
                <w:rFonts w:hint="eastAsia"/>
              </w:rPr>
              <w:t>人工（20000元人民币</w:t>
            </w:r>
            <w:r>
              <w:t>/</w:t>
            </w:r>
            <w:r>
              <w:rPr>
                <w:rFonts w:hint="eastAsia"/>
              </w:rPr>
              <w:t>人</w:t>
            </w:r>
            <w:r>
              <w:t>/</w:t>
            </w:r>
            <w:r>
              <w:rPr>
                <w:rFonts w:hint="eastAsia"/>
              </w:rPr>
              <w:t>月）</w:t>
            </w:r>
          </w:p>
        </w:tc>
        <w:tc>
          <w:tcPr>
            <w:tcW w:w="3981" w:type="dxa"/>
            <w:vAlign w:val="center"/>
          </w:tcPr>
          <w:p>
            <w:pPr>
              <w:spacing w:before="60" w:after="60"/>
              <w:ind w:firstLine="0" w:firstLineChars="0"/>
              <w:jc w:val="center"/>
            </w:pPr>
            <w:r>
              <w:rPr>
                <w:rFonts w:hint="eastAsia"/>
              </w:rPr>
              <w:t>300000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5718" w:type="dxa"/>
            <w:vAlign w:val="center"/>
          </w:tcPr>
          <w:p>
            <w:pPr>
              <w:spacing w:before="60" w:after="60"/>
              <w:ind w:firstLine="0" w:firstLineChars="0"/>
              <w:jc w:val="center"/>
            </w:pPr>
            <w:r>
              <w:rPr>
                <w:rFonts w:hint="eastAsia"/>
              </w:rPr>
              <w:t>硬件设备（15000元人民币</w:t>
            </w:r>
            <w:r>
              <w:t>/</w:t>
            </w:r>
            <w:r>
              <w:rPr>
                <w:rFonts w:hint="eastAsia"/>
              </w:rPr>
              <w:t>台电脑）</w:t>
            </w:r>
          </w:p>
        </w:tc>
        <w:tc>
          <w:tcPr>
            <w:tcW w:w="3981" w:type="dxa"/>
            <w:vAlign w:val="center"/>
          </w:tcPr>
          <w:p>
            <w:pPr>
              <w:spacing w:before="60" w:after="60"/>
              <w:ind w:firstLine="0" w:firstLineChars="0"/>
              <w:jc w:val="center"/>
            </w:pPr>
            <w:r>
              <w:rPr>
                <w:rFonts w:hint="eastAsia"/>
              </w:rPr>
              <w:t>60000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5718" w:type="dxa"/>
            <w:vAlign w:val="center"/>
          </w:tcPr>
          <w:p>
            <w:pPr>
              <w:spacing w:before="60" w:after="60"/>
              <w:ind w:firstLine="0" w:firstLineChars="0"/>
              <w:jc w:val="center"/>
            </w:pPr>
            <w:r>
              <w:rPr>
                <w:rFonts w:hint="eastAsia"/>
              </w:rPr>
              <w:t>房租水电（10000元人民币</w:t>
            </w:r>
            <w:r>
              <w:t>/</w:t>
            </w:r>
            <w:r>
              <w:rPr>
                <w:rFonts w:hint="eastAsia"/>
              </w:rPr>
              <w:t>月）</w:t>
            </w:r>
          </w:p>
        </w:tc>
        <w:tc>
          <w:tcPr>
            <w:tcW w:w="3981" w:type="dxa"/>
            <w:vAlign w:val="center"/>
          </w:tcPr>
          <w:p>
            <w:pPr>
              <w:spacing w:before="60" w:after="60"/>
              <w:ind w:firstLine="0" w:firstLineChars="0"/>
              <w:jc w:val="center"/>
            </w:pPr>
            <w:r>
              <w:rPr>
                <w:rFonts w:hint="eastAsia"/>
              </w:rPr>
              <w:t>30000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5718" w:type="dxa"/>
            <w:vAlign w:val="center"/>
          </w:tcPr>
          <w:p>
            <w:pPr>
              <w:spacing w:before="60" w:after="60"/>
              <w:ind w:firstLine="0" w:firstLineChars="0"/>
              <w:jc w:val="center"/>
            </w:pPr>
            <w:r>
              <w:rPr>
                <w:rFonts w:hint="eastAsia"/>
              </w:rPr>
              <w:t>其它费用</w:t>
            </w:r>
          </w:p>
        </w:tc>
        <w:tc>
          <w:tcPr>
            <w:tcW w:w="3981" w:type="dxa"/>
            <w:vAlign w:val="center"/>
          </w:tcPr>
          <w:p>
            <w:pPr>
              <w:spacing w:before="60" w:after="60"/>
              <w:ind w:firstLine="0" w:firstLineChars="0"/>
              <w:jc w:val="center"/>
            </w:pPr>
            <w:r>
              <w:rPr>
                <w:rFonts w:hint="eastAsia"/>
              </w:rPr>
              <w:t>10000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5718" w:type="dxa"/>
            <w:vAlign w:val="center"/>
          </w:tcPr>
          <w:p>
            <w:pPr>
              <w:spacing w:before="60" w:after="60"/>
              <w:ind w:firstLine="0" w:firstLineChars="0"/>
              <w:jc w:val="center"/>
            </w:pPr>
            <w:r>
              <w:rPr>
                <w:rFonts w:hint="eastAsia"/>
                <w:b/>
                <w:bCs/>
              </w:rPr>
              <w:t>总计</w:t>
            </w:r>
          </w:p>
        </w:tc>
        <w:tc>
          <w:tcPr>
            <w:tcW w:w="3981" w:type="dxa"/>
            <w:vAlign w:val="center"/>
          </w:tcPr>
          <w:p>
            <w:pPr>
              <w:spacing w:before="60" w:after="60"/>
              <w:ind w:firstLine="0" w:firstLineChars="0"/>
              <w:jc w:val="center"/>
            </w:pPr>
            <w:r>
              <w:rPr>
                <w:rFonts w:hint="eastAsia"/>
              </w:rPr>
              <w:t>400000</w:t>
            </w:r>
          </w:p>
        </w:tc>
      </w:tr>
    </w:tbl>
    <w:p>
      <w:r>
        <w:rPr>
          <w:rFonts w:hint="eastAsia"/>
        </w:rPr>
        <w:t>开发的商业回报：</w:t>
      </w:r>
    </w:p>
    <w:p>
      <w:pPr>
        <w:pStyle w:val="24"/>
        <w:numPr>
          <w:ilvl w:val="0"/>
          <w:numId w:val="2"/>
        </w:numPr>
        <w:ind w:firstLineChars="0"/>
      </w:pPr>
      <w:r>
        <w:rPr>
          <w:rFonts w:hint="eastAsia"/>
        </w:rPr>
        <w:t>第一年预计卖出1</w:t>
      </w:r>
      <w:r>
        <w:t>0套，</w:t>
      </w:r>
      <w:r>
        <w:rPr>
          <w:rFonts w:hint="eastAsia"/>
        </w:rPr>
        <w:t>5</w:t>
      </w:r>
      <w:r>
        <w:t>00</w:t>
      </w:r>
      <w:r>
        <w:rPr>
          <w:rFonts w:hint="eastAsia"/>
        </w:rPr>
        <w:t>万元人民币；</w:t>
      </w:r>
    </w:p>
    <w:p>
      <w:pPr>
        <w:pStyle w:val="24"/>
        <w:numPr>
          <w:ilvl w:val="0"/>
          <w:numId w:val="2"/>
        </w:numPr>
        <w:ind w:firstLineChars="0"/>
      </w:pPr>
      <w:r>
        <w:rPr>
          <w:rFonts w:hint="eastAsia"/>
        </w:rPr>
        <w:t>第二年预计卖出1</w:t>
      </w:r>
      <w:r>
        <w:t>00</w:t>
      </w:r>
      <w:r>
        <w:rPr>
          <w:rFonts w:hint="eastAsia"/>
        </w:rPr>
        <w:t>套，价值</w:t>
      </w:r>
      <w:r>
        <w:t>5000</w:t>
      </w:r>
      <w:r>
        <w:rPr>
          <w:rFonts w:hint="eastAsia"/>
        </w:rPr>
        <w:t>万元人民币；</w:t>
      </w:r>
    </w:p>
    <w:p>
      <w:pPr>
        <w:pStyle w:val="24"/>
        <w:numPr>
          <w:ilvl w:val="0"/>
          <w:numId w:val="2"/>
        </w:numPr>
        <w:ind w:firstLineChars="0"/>
      </w:pPr>
      <w:r>
        <w:rPr>
          <w:rFonts w:hint="eastAsia"/>
        </w:rPr>
        <w:t>第三年预计卖出200套，价值10000万元人民币。</w:t>
      </w:r>
    </w:p>
    <w:sectPr>
      <w:footerReference r:id="rId11" w:type="default"/>
      <w:pgSz w:w="11906" w:h="16838"/>
      <w:pgMar w:top="1134" w:right="1134" w:bottom="1134" w:left="1134" w:header="737" w:footer="737" w:gutter="0"/>
      <w:pgNumType w:fmt="decimal"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 Light">
    <w:altName w:val="Noto Serif CJK SC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mbria">
    <w:altName w:val="Georgia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Noto Serif CJK SC">
    <w:panose1 w:val="02020400000000000000"/>
    <w:charset w:val="86"/>
    <w:family w:val="auto"/>
    <w:pitch w:val="default"/>
    <w:sig w:usb0="30000083" w:usb1="2BDF3C10" w:usb2="00000016" w:usb3="00000000" w:csb0="602E0107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  <w:sdt>
      <w:sdtPr>
        <w:id w:val="-1"/>
      </w:sdtPr>
      <w:sdtContent/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  <w:rPr>
                              <w:rFonts w:hint="default"/>
                            </w:rPr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fyKa9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hint="default"/>
                      </w:rPr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sdt>
      <w:sdtPr>
        <w:id w:val="547829583"/>
      </w:sdtPr>
      <w:sdtContent/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1"/>
      </w:pBdr>
      <w:ind w:firstLine="180" w:firstLineChars="100"/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342FD4"/>
    <w:multiLevelType w:val="multilevel"/>
    <w:tmpl w:val="39342FD4"/>
    <w:lvl w:ilvl="0" w:tentative="0">
      <w:start w:val="1"/>
      <w:numFmt w:val="decimal"/>
      <w:lvlText w:val="%1)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745775FA"/>
    <w:multiLevelType w:val="multilevel"/>
    <w:tmpl w:val="745775FA"/>
    <w:lvl w:ilvl="0" w:tentative="0">
      <w:start w:val="1"/>
      <w:numFmt w:val="chineseCountingThousand"/>
      <w:pStyle w:val="3"/>
      <w:lvlText w:val="%1、"/>
      <w:lvlJc w:val="left"/>
      <w:pPr>
        <w:ind w:left="420" w:hanging="420"/>
      </w:pPr>
      <w:rPr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5NDBkMjA2NjQ3YjIwYWU4NGNkN2FiODU4M2YwMGEifQ=="/>
  </w:docVars>
  <w:rsids>
    <w:rsidRoot w:val="00023366"/>
    <w:rsid w:val="0000416D"/>
    <w:rsid w:val="00010779"/>
    <w:rsid w:val="00014362"/>
    <w:rsid w:val="00023366"/>
    <w:rsid w:val="00037CBB"/>
    <w:rsid w:val="00037CF4"/>
    <w:rsid w:val="00063BF8"/>
    <w:rsid w:val="00063EF9"/>
    <w:rsid w:val="000666F5"/>
    <w:rsid w:val="000B4F49"/>
    <w:rsid w:val="000D2C18"/>
    <w:rsid w:val="000F62C0"/>
    <w:rsid w:val="00135D61"/>
    <w:rsid w:val="00155652"/>
    <w:rsid w:val="00163085"/>
    <w:rsid w:val="0016633E"/>
    <w:rsid w:val="00172427"/>
    <w:rsid w:val="00185815"/>
    <w:rsid w:val="00190336"/>
    <w:rsid w:val="00195494"/>
    <w:rsid w:val="001A7B38"/>
    <w:rsid w:val="001C4066"/>
    <w:rsid w:val="001C52C4"/>
    <w:rsid w:val="001D002B"/>
    <w:rsid w:val="001D05F2"/>
    <w:rsid w:val="001D2A9A"/>
    <w:rsid w:val="001F0F1A"/>
    <w:rsid w:val="00205FD0"/>
    <w:rsid w:val="002116C0"/>
    <w:rsid w:val="002139D9"/>
    <w:rsid w:val="00226138"/>
    <w:rsid w:val="0024307B"/>
    <w:rsid w:val="002523F9"/>
    <w:rsid w:val="00274976"/>
    <w:rsid w:val="002870E3"/>
    <w:rsid w:val="002A2DDB"/>
    <w:rsid w:val="002B1F38"/>
    <w:rsid w:val="002B5316"/>
    <w:rsid w:val="002D1022"/>
    <w:rsid w:val="002E4B33"/>
    <w:rsid w:val="002F702B"/>
    <w:rsid w:val="002F706C"/>
    <w:rsid w:val="002F76D8"/>
    <w:rsid w:val="003533EA"/>
    <w:rsid w:val="00393823"/>
    <w:rsid w:val="003C0DF1"/>
    <w:rsid w:val="003F48F1"/>
    <w:rsid w:val="00405445"/>
    <w:rsid w:val="00406D40"/>
    <w:rsid w:val="004112E9"/>
    <w:rsid w:val="00425A27"/>
    <w:rsid w:val="00447EEE"/>
    <w:rsid w:val="00464A96"/>
    <w:rsid w:val="00475933"/>
    <w:rsid w:val="004770A0"/>
    <w:rsid w:val="0048452C"/>
    <w:rsid w:val="004C76C8"/>
    <w:rsid w:val="004F19B6"/>
    <w:rsid w:val="00502FD4"/>
    <w:rsid w:val="00530F69"/>
    <w:rsid w:val="00532051"/>
    <w:rsid w:val="00534976"/>
    <w:rsid w:val="00543C37"/>
    <w:rsid w:val="00544FB4"/>
    <w:rsid w:val="00547E19"/>
    <w:rsid w:val="005511EC"/>
    <w:rsid w:val="00565D97"/>
    <w:rsid w:val="00596DD0"/>
    <w:rsid w:val="005B60DE"/>
    <w:rsid w:val="005C0747"/>
    <w:rsid w:val="005C3E61"/>
    <w:rsid w:val="005D384F"/>
    <w:rsid w:val="005E42F9"/>
    <w:rsid w:val="005E66B2"/>
    <w:rsid w:val="00610A9D"/>
    <w:rsid w:val="00612DE5"/>
    <w:rsid w:val="006244B6"/>
    <w:rsid w:val="00624879"/>
    <w:rsid w:val="0062581B"/>
    <w:rsid w:val="00644091"/>
    <w:rsid w:val="006452DB"/>
    <w:rsid w:val="00656F41"/>
    <w:rsid w:val="0067780C"/>
    <w:rsid w:val="006948D8"/>
    <w:rsid w:val="006B0A4D"/>
    <w:rsid w:val="006B0ACD"/>
    <w:rsid w:val="006E5111"/>
    <w:rsid w:val="006F2BDF"/>
    <w:rsid w:val="00717F39"/>
    <w:rsid w:val="0073695E"/>
    <w:rsid w:val="007749EC"/>
    <w:rsid w:val="007B2EBB"/>
    <w:rsid w:val="007C554F"/>
    <w:rsid w:val="007D0793"/>
    <w:rsid w:val="007E472D"/>
    <w:rsid w:val="00841E44"/>
    <w:rsid w:val="00855E18"/>
    <w:rsid w:val="00872E19"/>
    <w:rsid w:val="00897832"/>
    <w:rsid w:val="008A5C00"/>
    <w:rsid w:val="008B3A00"/>
    <w:rsid w:val="008C7938"/>
    <w:rsid w:val="008F0FA5"/>
    <w:rsid w:val="009062EA"/>
    <w:rsid w:val="00907196"/>
    <w:rsid w:val="00917BE8"/>
    <w:rsid w:val="00927E89"/>
    <w:rsid w:val="00931F7F"/>
    <w:rsid w:val="00942003"/>
    <w:rsid w:val="00952315"/>
    <w:rsid w:val="00966E28"/>
    <w:rsid w:val="00975560"/>
    <w:rsid w:val="00983DAE"/>
    <w:rsid w:val="0099654A"/>
    <w:rsid w:val="009A17F2"/>
    <w:rsid w:val="009B05B7"/>
    <w:rsid w:val="009D0444"/>
    <w:rsid w:val="009D57FF"/>
    <w:rsid w:val="009D62AE"/>
    <w:rsid w:val="009D6309"/>
    <w:rsid w:val="009E2CBC"/>
    <w:rsid w:val="009E6B03"/>
    <w:rsid w:val="00A12B22"/>
    <w:rsid w:val="00A15D0C"/>
    <w:rsid w:val="00A23257"/>
    <w:rsid w:val="00A24698"/>
    <w:rsid w:val="00A35E19"/>
    <w:rsid w:val="00A62AF4"/>
    <w:rsid w:val="00A7271F"/>
    <w:rsid w:val="00A83555"/>
    <w:rsid w:val="00A86C44"/>
    <w:rsid w:val="00A953E0"/>
    <w:rsid w:val="00AB4F60"/>
    <w:rsid w:val="00AD1D5D"/>
    <w:rsid w:val="00AD7067"/>
    <w:rsid w:val="00AE1E60"/>
    <w:rsid w:val="00B15BB1"/>
    <w:rsid w:val="00B3033A"/>
    <w:rsid w:val="00B440C4"/>
    <w:rsid w:val="00B44840"/>
    <w:rsid w:val="00B45E9A"/>
    <w:rsid w:val="00B76C78"/>
    <w:rsid w:val="00B94A03"/>
    <w:rsid w:val="00BC575C"/>
    <w:rsid w:val="00BD43A5"/>
    <w:rsid w:val="00BD520B"/>
    <w:rsid w:val="00BE63F4"/>
    <w:rsid w:val="00BF1BAF"/>
    <w:rsid w:val="00C12125"/>
    <w:rsid w:val="00C155F7"/>
    <w:rsid w:val="00C21B37"/>
    <w:rsid w:val="00C3146C"/>
    <w:rsid w:val="00C533D5"/>
    <w:rsid w:val="00C60D52"/>
    <w:rsid w:val="00C62E1B"/>
    <w:rsid w:val="00C735D5"/>
    <w:rsid w:val="00C83C31"/>
    <w:rsid w:val="00C9638F"/>
    <w:rsid w:val="00CD1441"/>
    <w:rsid w:val="00D02566"/>
    <w:rsid w:val="00D11FFA"/>
    <w:rsid w:val="00D50193"/>
    <w:rsid w:val="00D53091"/>
    <w:rsid w:val="00D77DDC"/>
    <w:rsid w:val="00D81DE0"/>
    <w:rsid w:val="00D827FC"/>
    <w:rsid w:val="00D97676"/>
    <w:rsid w:val="00DB72CA"/>
    <w:rsid w:val="00DF0A42"/>
    <w:rsid w:val="00E05AAD"/>
    <w:rsid w:val="00E142A5"/>
    <w:rsid w:val="00E36319"/>
    <w:rsid w:val="00E41D32"/>
    <w:rsid w:val="00E56A17"/>
    <w:rsid w:val="00E76A8C"/>
    <w:rsid w:val="00E77E3F"/>
    <w:rsid w:val="00E91C5F"/>
    <w:rsid w:val="00E9755F"/>
    <w:rsid w:val="00EC2643"/>
    <w:rsid w:val="00EC32DC"/>
    <w:rsid w:val="00ED1EF4"/>
    <w:rsid w:val="00EF79D2"/>
    <w:rsid w:val="00F046F5"/>
    <w:rsid w:val="00F05528"/>
    <w:rsid w:val="00F204A4"/>
    <w:rsid w:val="00F25AB7"/>
    <w:rsid w:val="00F32485"/>
    <w:rsid w:val="00F37DC8"/>
    <w:rsid w:val="00F511D3"/>
    <w:rsid w:val="00FA089B"/>
    <w:rsid w:val="00FA2E97"/>
    <w:rsid w:val="00FB0F0F"/>
    <w:rsid w:val="00FC2850"/>
    <w:rsid w:val="00FD03A7"/>
    <w:rsid w:val="00FE28D7"/>
    <w:rsid w:val="00FE7D65"/>
    <w:rsid w:val="02EF2520"/>
    <w:rsid w:val="04F218D4"/>
    <w:rsid w:val="04F63962"/>
    <w:rsid w:val="04FB6615"/>
    <w:rsid w:val="0572516A"/>
    <w:rsid w:val="08E649D7"/>
    <w:rsid w:val="096A3D46"/>
    <w:rsid w:val="0A2A5CC7"/>
    <w:rsid w:val="0B3C0136"/>
    <w:rsid w:val="0CC12368"/>
    <w:rsid w:val="0DDE27F4"/>
    <w:rsid w:val="0EE92EEE"/>
    <w:rsid w:val="0F601615"/>
    <w:rsid w:val="11C8369E"/>
    <w:rsid w:val="13E72709"/>
    <w:rsid w:val="15227F5E"/>
    <w:rsid w:val="1A445DA1"/>
    <w:rsid w:val="1E480C92"/>
    <w:rsid w:val="212313E3"/>
    <w:rsid w:val="22912263"/>
    <w:rsid w:val="24005694"/>
    <w:rsid w:val="270D59C5"/>
    <w:rsid w:val="2EB91520"/>
    <w:rsid w:val="2F1D5267"/>
    <w:rsid w:val="2FAE0A41"/>
    <w:rsid w:val="31E31858"/>
    <w:rsid w:val="31FC4A02"/>
    <w:rsid w:val="33F060AE"/>
    <w:rsid w:val="34F02825"/>
    <w:rsid w:val="357732FF"/>
    <w:rsid w:val="382855FD"/>
    <w:rsid w:val="38EA20B4"/>
    <w:rsid w:val="394636F4"/>
    <w:rsid w:val="3C106FB0"/>
    <w:rsid w:val="3C12698B"/>
    <w:rsid w:val="3E2A2D57"/>
    <w:rsid w:val="3E9923AF"/>
    <w:rsid w:val="43236AE6"/>
    <w:rsid w:val="45A67174"/>
    <w:rsid w:val="464F2EEA"/>
    <w:rsid w:val="49E249CB"/>
    <w:rsid w:val="4A1A3D80"/>
    <w:rsid w:val="4F99576D"/>
    <w:rsid w:val="4F9A62A6"/>
    <w:rsid w:val="53DA3115"/>
    <w:rsid w:val="54DB4AF8"/>
    <w:rsid w:val="54EB3100"/>
    <w:rsid w:val="55D90099"/>
    <w:rsid w:val="573F1392"/>
    <w:rsid w:val="59EA7E2A"/>
    <w:rsid w:val="5C5576D1"/>
    <w:rsid w:val="5CDE3B6A"/>
    <w:rsid w:val="5EDB6EB3"/>
    <w:rsid w:val="605055F5"/>
    <w:rsid w:val="60DF4D47"/>
    <w:rsid w:val="62410803"/>
    <w:rsid w:val="6302302F"/>
    <w:rsid w:val="63C47715"/>
    <w:rsid w:val="649C53D5"/>
    <w:rsid w:val="65366619"/>
    <w:rsid w:val="65EB738A"/>
    <w:rsid w:val="68D51698"/>
    <w:rsid w:val="6A3C72FA"/>
    <w:rsid w:val="6C147DD5"/>
    <w:rsid w:val="6C1D394C"/>
    <w:rsid w:val="6E2F545B"/>
    <w:rsid w:val="6FB960CD"/>
    <w:rsid w:val="718F50E7"/>
    <w:rsid w:val="755E12FA"/>
    <w:rsid w:val="764513DA"/>
    <w:rsid w:val="776C0EA5"/>
    <w:rsid w:val="77E36686"/>
    <w:rsid w:val="7A5B3492"/>
    <w:rsid w:val="7B4073C5"/>
    <w:rsid w:val="7C365DDF"/>
    <w:rsid w:val="7C6B295E"/>
    <w:rsid w:val="7CE04A49"/>
    <w:rsid w:val="7E054EEF"/>
    <w:rsid w:val="7E8F2B79"/>
    <w:rsid w:val="7EEB29A7"/>
    <w:rsid w:val="7FDF7B8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480" w:firstLineChars="200"/>
      <w:jc w:val="both"/>
    </w:pPr>
    <w:rPr>
      <w:rFonts w:ascii="Times New Roman" w:hAnsi="Times New Roman" w:eastAsia="宋体" w:cs="Times New Roman"/>
      <w:kern w:val="2"/>
      <w:sz w:val="24"/>
      <w:szCs w:val="28"/>
      <w:lang w:val="en-US" w:eastAsia="zh-CN" w:bidi="ar-SA"/>
    </w:rPr>
  </w:style>
  <w:style w:type="paragraph" w:styleId="2">
    <w:name w:val="heading 1"/>
    <w:basedOn w:val="1"/>
    <w:next w:val="1"/>
    <w:link w:val="2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2"/>
    <w:next w:val="1"/>
    <w:link w:val="29"/>
    <w:unhideWhenUsed/>
    <w:qFormat/>
    <w:uiPriority w:val="9"/>
    <w:pPr>
      <w:numPr>
        <w:ilvl w:val="0"/>
        <w:numId w:val="1"/>
      </w:numPr>
      <w:ind w:firstLine="560"/>
      <w:outlineLvl w:val="1"/>
    </w:pPr>
    <w:rPr>
      <w:sz w:val="28"/>
    </w:rPr>
  </w:style>
  <w:style w:type="character" w:default="1" w:styleId="16">
    <w:name w:val="Default Paragraph Font"/>
    <w:semiHidden/>
    <w:unhideWhenUsed/>
    <w:uiPriority w:val="1"/>
  </w:style>
  <w:style w:type="table" w:default="1" w:styleId="1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5">
    <w:name w:val="annotation text"/>
    <w:basedOn w:val="1"/>
    <w:semiHidden/>
    <w:unhideWhenUsed/>
    <w:qFormat/>
    <w:uiPriority w:val="99"/>
    <w:pPr>
      <w:jc w:val="left"/>
    </w:pPr>
  </w:style>
  <w:style w:type="paragraph" w:styleId="6">
    <w:name w:val="Body Text"/>
    <w:basedOn w:val="1"/>
    <w:semiHidden/>
    <w:qFormat/>
    <w:uiPriority w:val="0"/>
    <w:rPr>
      <w:rFonts w:ascii="宋体" w:hAnsi="宋体" w:cs="宋体"/>
      <w:sz w:val="28"/>
      <w:lang w:eastAsia="en-US"/>
    </w:rPr>
  </w:style>
  <w:style w:type="paragraph" w:styleId="7">
    <w:name w:val="Date"/>
    <w:basedOn w:val="1"/>
    <w:next w:val="1"/>
    <w:link w:val="23"/>
    <w:semiHidden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7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Subtitle"/>
    <w:basedOn w:val="1"/>
    <w:next w:val="1"/>
    <w:link w:val="21"/>
    <w:qFormat/>
    <w:uiPriority w:val="11"/>
    <w:pPr>
      <w:spacing w:before="240" w:after="60" w:line="312" w:lineRule="auto"/>
      <w:jc w:val="center"/>
      <w:outlineLvl w:val="1"/>
    </w:pPr>
    <w:rPr>
      <w:b/>
      <w:bCs/>
      <w:kern w:val="28"/>
      <w:sz w:val="36"/>
      <w:szCs w:val="32"/>
    </w:rPr>
  </w:style>
  <w:style w:type="paragraph" w:styleId="1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13">
    <w:name w:val="Title"/>
    <w:basedOn w:val="1"/>
    <w:next w:val="1"/>
    <w:link w:val="22"/>
    <w:qFormat/>
    <w:uiPriority w:val="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44"/>
      <w:szCs w:val="32"/>
    </w:rPr>
  </w:style>
  <w:style w:type="table" w:styleId="15">
    <w:name w:val="Table Grid"/>
    <w:basedOn w:val="14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basedOn w:val="16"/>
    <w:qFormat/>
    <w:uiPriority w:val="22"/>
    <w:rPr>
      <w:b/>
      <w:bCs/>
    </w:rPr>
  </w:style>
  <w:style w:type="character" w:styleId="18">
    <w:name w:val="Hyperlink"/>
    <w:basedOn w:val="16"/>
    <w:semiHidden/>
    <w:unhideWhenUsed/>
    <w:qFormat/>
    <w:uiPriority w:val="99"/>
    <w:rPr>
      <w:color w:val="0000FF"/>
      <w:u w:val="single"/>
    </w:rPr>
  </w:style>
  <w:style w:type="character" w:customStyle="1" w:styleId="19">
    <w:name w:val="页眉 字符"/>
    <w:basedOn w:val="16"/>
    <w:link w:val="10"/>
    <w:qFormat/>
    <w:uiPriority w:val="99"/>
    <w:rPr>
      <w:sz w:val="18"/>
      <w:szCs w:val="18"/>
    </w:rPr>
  </w:style>
  <w:style w:type="character" w:customStyle="1" w:styleId="20">
    <w:name w:val="页脚 字符"/>
    <w:basedOn w:val="16"/>
    <w:link w:val="9"/>
    <w:qFormat/>
    <w:uiPriority w:val="99"/>
    <w:rPr>
      <w:sz w:val="18"/>
      <w:szCs w:val="18"/>
    </w:rPr>
  </w:style>
  <w:style w:type="character" w:customStyle="1" w:styleId="21">
    <w:name w:val="副标题 字符"/>
    <w:basedOn w:val="16"/>
    <w:link w:val="11"/>
    <w:qFormat/>
    <w:uiPriority w:val="11"/>
    <w:rPr>
      <w:rFonts w:eastAsia="宋体"/>
      <w:b/>
      <w:bCs/>
      <w:kern w:val="28"/>
      <w:sz w:val="36"/>
      <w:szCs w:val="32"/>
    </w:rPr>
  </w:style>
  <w:style w:type="character" w:customStyle="1" w:styleId="22">
    <w:name w:val="标题 字符"/>
    <w:basedOn w:val="16"/>
    <w:link w:val="13"/>
    <w:qFormat/>
    <w:uiPriority w:val="0"/>
    <w:rPr>
      <w:rFonts w:eastAsia="宋体" w:asciiTheme="majorHAnsi" w:hAnsiTheme="majorHAnsi" w:cstheme="majorBidi"/>
      <w:b/>
      <w:bCs/>
      <w:sz w:val="44"/>
      <w:szCs w:val="32"/>
    </w:rPr>
  </w:style>
  <w:style w:type="character" w:customStyle="1" w:styleId="23">
    <w:name w:val="日期 字符"/>
    <w:basedOn w:val="16"/>
    <w:link w:val="7"/>
    <w:semiHidden/>
    <w:qFormat/>
    <w:uiPriority w:val="99"/>
  </w:style>
  <w:style w:type="paragraph" w:styleId="24">
    <w:name w:val="List Paragraph"/>
    <w:basedOn w:val="1"/>
    <w:qFormat/>
    <w:uiPriority w:val="34"/>
    <w:pPr>
      <w:ind w:firstLine="420"/>
    </w:pPr>
  </w:style>
  <w:style w:type="paragraph" w:customStyle="1" w:styleId="25">
    <w:name w:val="Table - Col. Head"/>
    <w:basedOn w:val="1"/>
    <w:qFormat/>
    <w:uiPriority w:val="0"/>
    <w:pPr>
      <w:keepNext/>
      <w:widowControl/>
      <w:spacing w:before="60" w:after="60"/>
      <w:jc w:val="left"/>
    </w:pPr>
    <w:rPr>
      <w:rFonts w:ascii="Arial" w:hAnsi="Arial"/>
      <w:b/>
      <w:kern w:val="0"/>
      <w:sz w:val="18"/>
      <w:szCs w:val="20"/>
      <w:lang w:eastAsia="en-US"/>
    </w:rPr>
  </w:style>
  <w:style w:type="paragraph" w:customStyle="1" w:styleId="26">
    <w:name w:val="Table - Text"/>
    <w:basedOn w:val="1"/>
    <w:qFormat/>
    <w:uiPriority w:val="0"/>
    <w:pPr>
      <w:widowControl/>
      <w:spacing w:before="60" w:after="60"/>
      <w:jc w:val="left"/>
    </w:pPr>
    <w:rPr>
      <w:kern w:val="0"/>
      <w:sz w:val="20"/>
      <w:szCs w:val="20"/>
      <w:lang w:eastAsia="en-US"/>
    </w:rPr>
  </w:style>
  <w:style w:type="character" w:customStyle="1" w:styleId="27">
    <w:name w:val="批注框文本 字符"/>
    <w:basedOn w:val="16"/>
    <w:link w:val="8"/>
    <w:semiHidden/>
    <w:qFormat/>
    <w:uiPriority w:val="99"/>
    <w:rPr>
      <w:sz w:val="18"/>
      <w:szCs w:val="18"/>
    </w:rPr>
  </w:style>
  <w:style w:type="character" w:customStyle="1" w:styleId="28">
    <w:name w:val="标题 1 字符"/>
    <w:basedOn w:val="16"/>
    <w:link w:val="2"/>
    <w:qFormat/>
    <w:uiPriority w:val="9"/>
    <w:rPr>
      <w:b/>
      <w:bCs/>
      <w:kern w:val="44"/>
      <w:sz w:val="44"/>
      <w:szCs w:val="44"/>
    </w:rPr>
  </w:style>
  <w:style w:type="character" w:customStyle="1" w:styleId="29">
    <w:name w:val="标题 2 字符"/>
    <w:basedOn w:val="16"/>
    <w:link w:val="3"/>
    <w:qFormat/>
    <w:uiPriority w:val="9"/>
    <w:rPr>
      <w:b/>
      <w:bCs/>
      <w:kern w:val="44"/>
      <w:sz w:val="28"/>
      <w:szCs w:val="44"/>
    </w:rPr>
  </w:style>
  <w:style w:type="paragraph" w:styleId="30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745</Words>
  <Characters>827</Characters>
  <Lines>827</Lines>
  <Paragraphs>261</Paragraphs>
  <TotalTime>0</TotalTime>
  <ScaleCrop>false</ScaleCrop>
  <LinksUpToDate>false</LinksUpToDate>
  <CharactersWithSpaces>1311</CharactersWithSpaces>
  <Application>WPS Office WWO_dingtalk_20240221035043-c523bba0e7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2019-08-22T16:46:00Z</dcterms:created>
  <dc:creator>song min</dc:creator>
  <cp:lastModifiedBy>bingbing 赵</cp:lastModifiedBy>
  <cp:lastPrinted>2019-08-29T17:47:00Z</cp:lastPrinted>
  <dcterms:modified xsi:type="dcterms:W3CDTF">2025-10-23T15:44:52Z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501B3ED19E3041B59D206F4259789374_13</vt:lpwstr>
  </property>
  <property fmtid="{D5CDD505-2E9C-101B-9397-08002B2CF9AE}" pid="4" name="KSOTemplateDocerSaveRecord">
    <vt:lpwstr>eyJoZGlkIjoiMzEwNTM5NzYwMDRjMzkwZTVkZjY2ODkwMGIxNGU0OTUiLCJ1c2VySWQiOiI1MzE3NjIxNjEifQ==</vt:lpwstr>
  </property>
</Properties>
</file>